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1F1630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F1630" w:rsidRDefault="00B60438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1F1630" w:rsidRDefault="00B60438">
            <w:pPr>
              <w:spacing w:after="0" w:line="240" w:lineRule="auto"/>
            </w:pPr>
            <w:r>
              <w:t>22451</w:t>
            </w:r>
          </w:p>
        </w:tc>
      </w:tr>
      <w:tr w:rsidR="001F1630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F1630" w:rsidRDefault="00B60438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1F1630" w:rsidRDefault="00B60438">
            <w:pPr>
              <w:spacing w:after="0" w:line="240" w:lineRule="auto"/>
            </w:pPr>
            <w:r>
              <w:t>SVEUČILIŠTE U SPLITU - MEDICINSKI FAKULTET</w:t>
            </w:r>
          </w:p>
        </w:tc>
      </w:tr>
      <w:tr w:rsidR="001F1630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F1630" w:rsidRDefault="00B60438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1F1630" w:rsidRDefault="00B60438">
            <w:pPr>
              <w:spacing w:after="0" w:line="240" w:lineRule="auto"/>
            </w:pPr>
            <w:r>
              <w:t>11</w:t>
            </w:r>
          </w:p>
        </w:tc>
      </w:tr>
    </w:tbl>
    <w:p w:rsidR="001F1630" w:rsidRDefault="00B60438">
      <w:r>
        <w:br/>
      </w:r>
    </w:p>
    <w:p w:rsidR="001F1630" w:rsidRDefault="00B60438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1F1630" w:rsidRDefault="00B60438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1F1630" w:rsidRDefault="00B60438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međunarodnih organizacija te institucija i tijela EU (šifre 6321 do 6324)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6.448.818,32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97.055,49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1,5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Pomoći od međunarodnih organizacija te institucija i tijela EU.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institucija i tijela EU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6.448.818,32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81.005,48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1,3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Sredstva za EU projekte Innotyrogen i Eu4Medtech dobiveni krajem prošle godine, a u ovoj 2025. su utrošeni! Iz navedenog razloga značajan pad prihoda na navedenom kontu.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702.258,28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708.790,77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100,9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Tekući prijenosi između proračunskih korisnika koji se odnose na sredstva primljena od Hrvatske Zaklade za znanost i Sveučilišta u Splitu.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170.045,31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339.704,25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199,8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Povećanje se odnosi na sredstva primljena od HRZZ-a, Sveučilišta u Splitu i agencije AMPEU.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3.644.151,44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3.998.078,38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109,7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Odnosi se na prihode od školarina i to u najvećem dijelu od studija Medicina na engleskom jeziku te prihoda od školarina poslijediplomskih i specijalističkih studija. Dio prihoda čine i prihodi na diplomskim studijima Medicina, Dentalna medicina i Farmacija.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144.549,51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43.369,62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30,0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Donacije u odnosu na prethodno razdoblje su smanjene zbog manje primljenih donacija trgovačkih društava i fizičkih osoba.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7.271.723,94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8.002.992,09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110,1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U odnosu na prethodno razdbolje su u porastu, ponajviše zbog povećanja plaća.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8.814.485,40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10.271.728,72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116,5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Porast je u najvećoj mjeri rezultat porasta osnovica za obračun plaća, te radi povećanja plaća temeljem nove uredbe o koeficijentima.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6.981.819,61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8.169.240,70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117,0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Porast je u najvećoj mjeri rezultat porasta osnovica za obračun plaća, te radi povećanja plaća temeljem nove uredbe o koeficijentima.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653.122,58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701.061,21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107,3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 xml:space="preserve">Na sličnoj je razini kao i prethodne </w:t>
      </w:r>
      <w:proofErr w:type="gramStart"/>
      <w:r>
        <w:t>godine,  a</w:t>
      </w:r>
      <w:proofErr w:type="gramEnd"/>
      <w:r>
        <w:t xml:space="preserve"> odnosi se na ispatu neoporezivih nagrada za radne rezultate, neoporezive iznose za prehranu radnika i ostala materijalna prava.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1.144.886,46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1.350.114,00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117,9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Porast u odnosu na prethodno razdoblje je rezultat povećanja plaća.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144.872,59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75.973,11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52,4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Ide kao redovna isplata uz plaću.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230.297,48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346.230,23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150,3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Uvećanje u odnosu na prethodno razdoblje je rezultat povećanih rashoda za medicinski materijal.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110.339,78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133.205,74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120,7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Porast u odnosu na prethodno razdoblje je u većem ulaganju odnosno održavanju.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142.392,49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129.872,89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91,2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Odnosi se u najvećem dijelu na objavu znanstvenih radova.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30.527,47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144.603,23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473,7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Porast u odnosu na prethodno razdoblje je u povećanim troškovima laboratorijskih usluga.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1.181.634,86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1.089.826,16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92,2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Odnosi se na Ugovore od djelu, autorske ugovore, te ostale intelektualne usluge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58.218,95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26.346,20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45,3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Smanjenje u odnosu na prethodnu godinu je prvenstveno zbog prošlogodišnjih usluga komunikacijskih platformi za projekt Prof. T. Poklepović.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77.389,32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96.853,12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125,2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Uvećanje se odnosi na povećanje putnih troškova vanjskih suradnika.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177.523,28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373.176,28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210,2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Povećanje se odnosi na promjenu načina knjiženja obveze 3% i 15% namjenskih prihoda Sveučilištu u Splitu.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26.251,58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31.152,82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118,7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Slična razina kao i prethodne godine.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7.015,89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7.569,19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107,9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Slična razina kao i prethodne godine.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5.844,46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6.117,30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104,7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Slična razina kao i prethodne godine.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Negativne tečajne razlike i razlike zbog primjene valutne klauzule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267,47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71,5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Slična razina kao i prethodne godine.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trgovačkim društvima, zadrugama, poljoprivrednicima i obrtnicima iz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1.657.884,17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U istom razdoblju prethodne godine nije postojala stavka na šifri 353 iz razloga što su projekti Innotyrogen i Eu4Medtech započeti u 2025. godini. Troškovi na navedenoj stavci odnose se na prijenose partnerima koji su dostavili ovjerenu financijsku dokumentaciju, a sve proporcionalno ukupnom udjelu projekta.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inozemnim vladama (šifre 3611+3612)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2.217.280,32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Tekuće pomoći inozemnim vladama koje su posljedica potpisanih Ugovora za projekte Innotyrogen i Eu4Medtech.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3681+3682)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98.640,00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Prijenos EU sredstava Nastavnom zavodu za javno zdravstvo temeljem projekta Innotyrogen.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lastRenderedPageBreak/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318.031,67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Sredstva prenesena korisnicima istog proračuna temeljem prijenosa EU sredstava po osnovi projekata Innotyrogen i Eu4Medtech.</w:t>
      </w:r>
    </w:p>
    <w:p w:rsidR="001F1630" w:rsidRDefault="00B60438">
      <w:r>
        <w:t> 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iz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17.850,13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1.055.162,84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5911,2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Vezane su za projekte Innotyrogen i Eu4Medtech, a prenesene Poliklinici Leptir, Instituto Pedro Nunes, Hrvatskoj udruzi za bolest štitnjače, National Association for Improving the positon of patients, Patient forum of Serbia, Enosi Asthenon elladas, Fundacio Eurocat.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1F163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5.431.833,26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Manjak prihoda poslovanja je pokriven prenesenim viškom iz prethodnog razdoblja, konta 92211. Radi se konkretno o činjenici da su sredstva za projekte Innotyrogen i Eu4Medtech dobiveni krajem prošle godine, a u ovoj 2025. su utrošeni!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i pruženih usluga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61.770,17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67.866,49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109,9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Najvećim dijelom se odnosi na potraživanja od KBC-a Split za usluge koje se podmiruju kompenzacijom.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lastRenderedPageBreak/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268.967,98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473.489,28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176,0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 xml:space="preserve">Na stavkama je zabilježen porast u odnosu na prethodno razdoblje </w:t>
      </w:r>
      <w:proofErr w:type="gramStart"/>
      <w:r>
        <w:t>a</w:t>
      </w:r>
      <w:proofErr w:type="gramEnd"/>
      <w:r>
        <w:t xml:space="preserve"> odnosi se na nabavku uredske opreme i namještaja, komunikacijske opreme te medicinske opreme i laboratorijske opreme.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12.841,85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7.276,85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56,7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Nabava knjiga je na nešto manjoj razini nego prošle godine.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1F163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5.928.096,89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Manjak prihoda poslovanja je pokriven prenesenim viškom iz prethodnog razdoblja. Radi se konkretno o činjenici da su sredstva za projekte Innotyrogen i Eu4Medtech dobiveni krajem prošle godine, a u ovoj 2025. su utrošeni!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1F163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6.485.659,56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556.775,12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8,6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Manjak prihoda poslovanja je pokriven prenesenim viškom iz prethodnog razdoblja. Radi se konkretno o činjenici da su sredstva za projekte Innotyrogen i Eu4Medtech dobiveni krajem prošle godine, a u ovoj 2025. su utrošeni!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948.259,96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1.011.403,55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106,7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Stanje nefinancijske imovince nakon otpisa i amortizacije ostaje na sličnoj razini kao i prošle godine!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11.666.258,28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6.850.283,49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58,7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Financijska imovina je smanjena iz razloga što smo predujmove dobivene u 2025. godini za dva Obzor projekta čiji smo kordinatori (6,1 mil. EUR) distriburali brojnim partnerima u 2026.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10.803.145,01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6.097.737,24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56,4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Novac na žiro računu je znatno smanjen iz razloga što smo predujmove dobivene u 2025. godini za dva Obzor projekta čiji smo kordinatori (6,1 mil. EUR) distriburali brojnim partnerima u 2026.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59.068,97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59.478,62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100,7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Na sličnoj razini prošle godine.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lastRenderedPageBreak/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256.105,71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294.527,84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115,0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Na sličnoj razini kao i prošle godine.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13.593,99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362.225,66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2664,6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Kao što smo prihoda od školarina raspodjelili vremenskim razgraničenjima u 4 kvartala, trošak po navedenima, prvenstveno obveze prema Sveučilištu po 15% smo također raspodjelili vremenskim razgraničenjima.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516.921,50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671.325,43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129,9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 xml:space="preserve">Odnosi se na obračun zadnje plaće i ostalih izdataka za zaposlenike koji se obračunava u prosincu 2025. </w:t>
      </w:r>
      <w:proofErr w:type="gramStart"/>
      <w:r>
        <w:t>a</w:t>
      </w:r>
      <w:proofErr w:type="gramEnd"/>
      <w:r>
        <w:t xml:space="preserve"> isplaćuje u siječnju 2026.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1.821.278,54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2.241.806,99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123,1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Odnosi se uglavnom na dug prema Sveučilištu u Splitu s kojim je dogovoreno plaćanje prema mogucnostima.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lastRenderedPageBreak/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235.346,26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281.784,04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119,7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Na sličnoj razini kao i 2025.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proizvedene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30.313,65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41.606,55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137,3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Na sličnoj razini kao i 2025.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Odgođeno plaćanje rashoda i prihodi budućih razdoblja (pasivna vremenska razgraničenja) (šifre 291+292)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2.349.808,74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2.798.678,31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119,1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Vremenska razgraničenja za prihode od školarina. 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 i ispravak vlastitih izvora (šifre 911-912)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930.815,47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993.959,06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106,8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Blago povećanje zbog nabavke nove dugotrajne imovine.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6.485.659,56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556.775,12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8,6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lastRenderedPageBreak/>
        <w:t>Manjak prihoda poslovanja je pokriven prenesenim viškom iz prethodnog razdoblja. Radi se konkretno o činjenici da su sredstva za projekte Innotyrogen i Eu4Medtech dobiveni krajem prošle godine, a u ovoj 2025. su utrošeni!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245.967,28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283.641,95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115,3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Na sličnoj razini kao 2025. godine. 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imovine (šifre P001+P008)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355.133,69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Amortizacija 2025.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1F163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3.236.785,04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>U najvećoj mjeri odnosi se na obveze prema proračunskim korisnicima te na tekuće obveze za materijalne rashode i za nabavku nefinancijske imovine.</w:t>
      </w:r>
    </w:p>
    <w:p w:rsidR="001F1630" w:rsidRDefault="001F1630"/>
    <w:p w:rsidR="001F1630" w:rsidRDefault="00B60438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F163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63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1F163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1.591.655,59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1630" w:rsidRDefault="00B604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F1630" w:rsidRDefault="001F1630">
      <w:pPr>
        <w:spacing w:after="0"/>
      </w:pPr>
    </w:p>
    <w:p w:rsidR="001F1630" w:rsidRDefault="00B60438">
      <w:r>
        <w:t xml:space="preserve">Svoje obveze Fakultet podmiruje redovito. Izuzetak od toga su obveze prema Sveučilištu u </w:t>
      </w:r>
      <w:proofErr w:type="gramStart"/>
      <w:r>
        <w:t>Splitu  koje</w:t>
      </w:r>
      <w:proofErr w:type="gramEnd"/>
      <w:r>
        <w:t xml:space="preserve"> su dospjele u visini 1.580.218,06 € , a koje se odnose na obračunate obveze u </w:t>
      </w:r>
      <w:r>
        <w:lastRenderedPageBreak/>
        <w:t xml:space="preserve">visini 15% od školarina studija Medicina na engleskom jeziku. S obzirom da se radi o visokim iznosima koje značajno utječu na likvidnost Fakulteta, sa Sveučilištem je dogovoreno da će se postojeća obveza plaćati u tranšama prema financijskim mogućnostima Fakulteta. Ostale obaveze se u najvećem </w:t>
      </w:r>
      <w:proofErr w:type="gramStart"/>
      <w:r>
        <w:t>dijelu  odnose</w:t>
      </w:r>
      <w:proofErr w:type="gramEnd"/>
      <w:r>
        <w:t xml:space="preserve"> na obaveze prema KBC-u Split  te će se navedene obaveze zatvoriti kompenzacijom.</w:t>
      </w:r>
    </w:p>
    <w:p w:rsidR="00E55876" w:rsidRDefault="00E55876"/>
    <w:p w:rsidR="00E55876" w:rsidRDefault="00E55876"/>
    <w:p w:rsidR="00E55876" w:rsidRDefault="00E55876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84042">
        <w:tab/>
      </w:r>
      <w:r w:rsidR="00984042">
        <w:tab/>
      </w:r>
      <w:r>
        <w:t>Voditelj račun</w:t>
      </w:r>
      <w:r w:rsidR="00984042">
        <w:t>o</w:t>
      </w:r>
      <w:r>
        <w:t>vodstva</w:t>
      </w:r>
      <w:r w:rsidR="00984042">
        <w:t>:</w:t>
      </w:r>
    </w:p>
    <w:p w:rsidR="00E55876" w:rsidRDefault="00E55876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 w:rsidR="00984042">
        <w:tab/>
      </w:r>
      <w:r w:rsidR="00984042">
        <w:tab/>
      </w:r>
      <w:r w:rsidR="00984042">
        <w:tab/>
        <w:t xml:space="preserve">dipl, oec.   </w:t>
      </w:r>
      <w:r>
        <w:t>Jurica Kraljević</w:t>
      </w:r>
    </w:p>
    <w:p w:rsidR="00E55876" w:rsidRDefault="00E55876"/>
    <w:p w:rsidR="00E55876" w:rsidRDefault="00E55876"/>
    <w:p w:rsidR="00E55876" w:rsidRDefault="00E55876">
      <w:r>
        <w:t xml:space="preserve">                                                        </w:t>
      </w:r>
      <w:r w:rsidR="00984042">
        <w:tab/>
      </w:r>
      <w:r w:rsidR="00984042">
        <w:tab/>
      </w:r>
      <w:r w:rsidR="00984042">
        <w:tab/>
      </w:r>
      <w:r w:rsidR="00984042">
        <w:tab/>
      </w:r>
      <w:r>
        <w:t>__________________</w:t>
      </w:r>
    </w:p>
    <w:p w:rsidR="00984042" w:rsidRDefault="00984042"/>
    <w:p w:rsidR="00984042" w:rsidRDefault="00984042"/>
    <w:p w:rsidR="001F1630" w:rsidRDefault="00984042" w:rsidP="00984042">
      <w:pPr>
        <w:ind w:left="5040" w:firstLine="720"/>
        <w:contextualSpacing/>
      </w:pPr>
      <w:r>
        <w:t>Dekan:</w:t>
      </w:r>
      <w:r>
        <w:tab/>
      </w:r>
    </w:p>
    <w:p w:rsidR="00984042" w:rsidRDefault="00984042" w:rsidP="00984042">
      <w:pPr>
        <w:ind w:left="5760"/>
        <w:contextualSpacing/>
      </w:pPr>
      <w:r>
        <w:t>Prof. dr. sc. Renata Pecotić</w:t>
      </w:r>
    </w:p>
    <w:p w:rsidR="00984042" w:rsidRDefault="00984042" w:rsidP="00984042">
      <w:pPr>
        <w:ind w:left="5760"/>
      </w:pPr>
    </w:p>
    <w:p w:rsidR="00984042" w:rsidRDefault="00984042" w:rsidP="00984042">
      <w:pPr>
        <w:ind w:left="5760"/>
      </w:pPr>
      <w:bookmarkStart w:id="0" w:name="_GoBack"/>
      <w:bookmarkEnd w:id="0"/>
    </w:p>
    <w:p w:rsidR="00984042" w:rsidRDefault="00984042" w:rsidP="00984042">
      <w:pPr>
        <w:ind w:left="5760"/>
      </w:pPr>
      <w:r>
        <w:t xml:space="preserve">_________________       </w:t>
      </w:r>
    </w:p>
    <w:sectPr w:rsidR="00984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30"/>
    <w:rsid w:val="001F1630"/>
    <w:rsid w:val="00984042"/>
    <w:rsid w:val="00B60438"/>
    <w:rsid w:val="00E5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71C1"/>
  <w15:docId w15:val="{2BF7FD81-05A4-43EA-898A-2C4167DC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2804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Jurica Kraljević</dc:creator>
  <cp:lastModifiedBy>Jurica Kraljević</cp:lastModifiedBy>
  <cp:revision>4</cp:revision>
  <dcterms:created xsi:type="dcterms:W3CDTF">2026-02-02T15:31:00Z</dcterms:created>
  <dcterms:modified xsi:type="dcterms:W3CDTF">2026-02-27T15:26:00Z</dcterms:modified>
</cp:coreProperties>
</file>